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99" w:rsidRPr="00550326" w:rsidRDefault="000047CD">
      <w:pPr>
        <w:rPr>
          <w:sz w:val="24"/>
          <w:szCs w:val="24"/>
        </w:rPr>
      </w:pPr>
      <w:bookmarkStart w:id="0" w:name="_GoBack"/>
      <w:bookmarkEnd w:id="0"/>
      <w:r w:rsidRPr="000047CD">
        <w:rPr>
          <w:sz w:val="24"/>
          <w:szCs w:val="24"/>
        </w:rPr>
        <w:t>Endur</w:t>
      </w:r>
      <w:r>
        <w:rPr>
          <w:sz w:val="24"/>
          <w:szCs w:val="24"/>
        </w:rPr>
        <w:t>ing Skills</w:t>
      </w:r>
      <w:r w:rsidRPr="000047CD">
        <w:rPr>
          <w:b/>
          <w:sz w:val="24"/>
          <w:szCs w:val="24"/>
        </w:rPr>
        <w:t xml:space="preserve"> Initial</w:t>
      </w:r>
      <w:r w:rsidR="00B36099">
        <w:rPr>
          <w:sz w:val="24"/>
          <w:szCs w:val="24"/>
        </w:rPr>
        <w:t xml:space="preserve"> List for </w:t>
      </w:r>
      <w:r w:rsidR="00B36099" w:rsidRPr="00B36099">
        <w:rPr>
          <w:b/>
          <w:sz w:val="24"/>
          <w:szCs w:val="24"/>
        </w:rPr>
        <w:t xml:space="preserve">Social Studies </w:t>
      </w:r>
      <w:r w:rsidR="00CA4D82">
        <w:rPr>
          <w:b/>
          <w:color w:val="FF0000"/>
          <w:sz w:val="24"/>
          <w:szCs w:val="24"/>
        </w:rPr>
        <w:t xml:space="preserve">(OVEC SSTLN </w:t>
      </w:r>
      <w:r w:rsidR="00C9588E">
        <w:rPr>
          <w:b/>
          <w:color w:val="FF0000"/>
          <w:sz w:val="24"/>
          <w:szCs w:val="24"/>
        </w:rPr>
        <w:t>additions</w:t>
      </w:r>
      <w:r w:rsidR="00CA4D82">
        <w:rPr>
          <w:b/>
          <w:color w:val="FF0000"/>
          <w:sz w:val="24"/>
          <w:szCs w:val="24"/>
        </w:rPr>
        <w:t xml:space="preserve"> in red)</w:t>
      </w:r>
      <w:r w:rsidR="00B36099" w:rsidRPr="00B36099">
        <w:rPr>
          <w:sz w:val="24"/>
          <w:szCs w:val="24"/>
        </w:rPr>
        <w:t xml:space="preserve">                                                       </w:t>
      </w:r>
      <w:r w:rsidRPr="00B36099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February 2014</w:t>
      </w:r>
    </w:p>
    <w:tbl>
      <w:tblPr>
        <w:tblpPr w:leftFromText="180" w:rightFromText="180" w:horzAnchor="margin" w:tblpY="690"/>
        <w:tblW w:w="14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3420"/>
        <w:gridCol w:w="3330"/>
        <w:gridCol w:w="4050"/>
      </w:tblGrid>
      <w:tr w:rsidR="000047CD" w:rsidTr="007F52AA">
        <w:tc>
          <w:tcPr>
            <w:tcW w:w="14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0047CD" w:rsidRDefault="000047CD" w:rsidP="000047CD"/>
        </w:tc>
      </w:tr>
      <w:tr w:rsidR="000047CD" w:rsidRP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CD" w:rsidRPr="000047CD" w:rsidRDefault="000047CD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Enduring Skill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CD" w:rsidRPr="000047CD" w:rsidRDefault="000047CD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Reference to Standards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CD" w:rsidRPr="000047CD" w:rsidRDefault="000047CD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What’s Mastery Look Like at your Grade Level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CD" w:rsidRPr="000047CD" w:rsidRDefault="000047CD" w:rsidP="000047CD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Sources of Evidence:</w:t>
            </w:r>
          </w:p>
          <w:p w:rsidR="000047CD" w:rsidRPr="000047CD" w:rsidRDefault="000047CD" w:rsidP="000047CD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What is available or needs to be developed?</w:t>
            </w:r>
          </w:p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21" w:rsidRDefault="00262A21" w:rsidP="00B36099"/>
          <w:p w:rsidR="00826329" w:rsidRPr="00826329" w:rsidRDefault="00262A21" w:rsidP="00B36099">
            <w:pPr>
              <w:rPr>
                <w:b/>
                <w:color w:val="FF0000"/>
              </w:rPr>
            </w:pPr>
            <w:r>
              <w:t xml:space="preserve">Construct </w:t>
            </w:r>
            <w:r w:rsidR="00B36099">
              <w:t>compelling and supporting questions to develop inquiry skills</w:t>
            </w:r>
            <w:r>
              <w:t>.</w:t>
            </w:r>
            <w:r w:rsidR="00CA4D82">
              <w:t xml:space="preserve">  </w:t>
            </w:r>
            <w:r w:rsidR="00826329">
              <w:rPr>
                <w:b/>
                <w:color w:val="FF0000"/>
              </w:rPr>
              <w:t>(Develop questions that advance inquiry.)</w:t>
            </w:r>
          </w:p>
          <w:p w:rsidR="000047CD" w:rsidRDefault="000047CD" w:rsidP="000047CD"/>
          <w:p w:rsidR="000047CD" w:rsidRDefault="000047CD" w:rsidP="000047CD"/>
          <w:p w:rsidR="000047CD" w:rsidRDefault="000047CD" w:rsidP="000047CD"/>
          <w:p w:rsidR="000047CD" w:rsidRDefault="000047CD" w:rsidP="000047CD"/>
          <w:p w:rsidR="000047CD" w:rsidRDefault="000047CD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99" w:rsidRDefault="00B36099" w:rsidP="00B36099">
            <w:pPr>
              <w:rPr>
                <w:b/>
              </w:rPr>
            </w:pPr>
            <w:r>
              <w:rPr>
                <w:b/>
              </w:rPr>
              <w:t xml:space="preserve">KCAS Reading Anchor Standard 1 </w:t>
            </w:r>
            <w:r w:rsidRPr="00262A21">
              <w:t>(importance of evidence in framing and answering questions)</w:t>
            </w:r>
          </w:p>
          <w:p w:rsidR="00B36099" w:rsidRDefault="00B36099" w:rsidP="00B36099">
            <w:pPr>
              <w:rPr>
                <w:b/>
              </w:rPr>
            </w:pPr>
            <w:r>
              <w:rPr>
                <w:b/>
              </w:rPr>
              <w:t>KCAS Writing Anchor Standard 7</w:t>
            </w:r>
          </w:p>
          <w:p w:rsidR="00B36099" w:rsidRPr="00262A21" w:rsidRDefault="00B36099" w:rsidP="00B36099">
            <w:r w:rsidRPr="00262A21">
              <w:t>(posing questions as an initial activity in research and inquiry)</w:t>
            </w:r>
          </w:p>
          <w:p w:rsidR="00A00D72" w:rsidRDefault="00B36099" w:rsidP="001F50CC">
            <w:r>
              <w:rPr>
                <w:b/>
              </w:rPr>
              <w:t xml:space="preserve">KCAS Speaking and Listening Standard 1 </w:t>
            </w:r>
            <w:r w:rsidRPr="00262A21">
              <w:t>(prepare and participate in conversations around questions)</w:t>
            </w:r>
          </w:p>
          <w:p w:rsidR="00C80062" w:rsidRDefault="00C80062" w:rsidP="001F50CC"/>
          <w:p w:rsidR="001A7F5F" w:rsidRDefault="001A7F5F" w:rsidP="00C80062">
            <w:pPr>
              <w:rPr>
                <w:b/>
                <w:u w:val="single"/>
              </w:rPr>
            </w:pPr>
            <w:r w:rsidRPr="001A7F5F">
              <w:rPr>
                <w:b/>
                <w:u w:val="single"/>
              </w:rPr>
              <w:t>Other References</w:t>
            </w:r>
          </w:p>
          <w:p w:rsidR="005B3CA0" w:rsidRPr="003C2D8E" w:rsidRDefault="005B3CA0" w:rsidP="005B3CA0">
            <w:r w:rsidRPr="003C2D8E">
              <w:rPr>
                <w:b/>
              </w:rPr>
              <w:t>C3 Framework</w:t>
            </w:r>
            <w:r w:rsidRPr="003C2D8E">
              <w:t xml:space="preserve"> Dimension 1 (p. 23)</w:t>
            </w:r>
          </w:p>
          <w:p w:rsidR="005B3CA0" w:rsidRPr="001A7F5F" w:rsidRDefault="005B3CA0" w:rsidP="00C80062">
            <w:pPr>
              <w:rPr>
                <w:b/>
                <w:u w:val="single"/>
              </w:rPr>
            </w:pPr>
          </w:p>
          <w:p w:rsidR="00C80062" w:rsidRPr="003C2D8E" w:rsidRDefault="00C80062" w:rsidP="00C80062">
            <w:pPr>
              <w:rPr>
                <w:b/>
              </w:rPr>
            </w:pPr>
            <w:r w:rsidRPr="003C2D8E">
              <w:rPr>
                <w:b/>
              </w:rPr>
              <w:t>Quality Core</w:t>
            </w:r>
            <w:r>
              <w:rPr>
                <w:b/>
              </w:rPr>
              <w:t xml:space="preserve"> </w:t>
            </w:r>
          </w:p>
          <w:p w:rsidR="00C80062" w:rsidRDefault="00C80062" w:rsidP="00C80062">
            <w:r w:rsidRPr="003C2D8E">
              <w:t>Quality Core A. Exploring the Skills and Strategies Underlying US History 1. Process Objectives j. Develop open-ended historical questions that can be addressed through historical research and interpretation.</w:t>
            </w:r>
            <w:r>
              <w:t xml:space="preserve">  </w:t>
            </w:r>
          </w:p>
          <w:p w:rsidR="00C80062" w:rsidRPr="001F50CC" w:rsidRDefault="00C80062" w:rsidP="001F50CC">
            <w:pPr>
              <w:rPr>
                <w:b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C3C" w:rsidRDefault="00DD2C3C" w:rsidP="000047CD"/>
        </w:tc>
      </w:tr>
      <w:tr w:rsidR="00B36099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21" w:rsidRDefault="00262A21" w:rsidP="00B36099">
            <w:pPr>
              <w:jc w:val="center"/>
            </w:pPr>
          </w:p>
          <w:p w:rsidR="00B36099" w:rsidRDefault="00262A21" w:rsidP="00B36099">
            <w:pPr>
              <w:jc w:val="center"/>
            </w:pPr>
            <w:r>
              <w:t>Use</w:t>
            </w:r>
            <w:r w:rsidR="00B36099">
              <w:t xml:space="preserve"> evidence to support a claim</w:t>
            </w:r>
            <w:r>
              <w:t>.</w:t>
            </w:r>
          </w:p>
          <w:p w:rsidR="006E302E" w:rsidRPr="0054417C" w:rsidRDefault="00C9588E" w:rsidP="005441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="006E302E" w:rsidRPr="0054417C">
              <w:rPr>
                <w:b/>
                <w:color w:val="FF0000"/>
              </w:rPr>
              <w:t xml:space="preserve">Develop </w:t>
            </w:r>
            <w:r w:rsidR="00C258C7">
              <w:rPr>
                <w:b/>
                <w:color w:val="FF0000"/>
              </w:rPr>
              <w:t>e</w:t>
            </w:r>
            <w:r w:rsidR="006E302E" w:rsidRPr="0054417C">
              <w:rPr>
                <w:b/>
                <w:color w:val="FF0000"/>
              </w:rPr>
              <w:t>vidence</w:t>
            </w:r>
            <w:r w:rsidR="00C258C7">
              <w:rPr>
                <w:b/>
                <w:color w:val="FF0000"/>
              </w:rPr>
              <w:t>-b</w:t>
            </w:r>
            <w:r w:rsidR="006E302E" w:rsidRPr="0054417C">
              <w:rPr>
                <w:b/>
                <w:color w:val="FF0000"/>
              </w:rPr>
              <w:t>ased claims</w:t>
            </w:r>
            <w:r w:rsidR="00CA4D82">
              <w:rPr>
                <w:b/>
                <w:color w:val="FF0000"/>
              </w:rPr>
              <w:t>.</w:t>
            </w:r>
            <w:r w:rsidR="006E302E" w:rsidRPr="0054417C">
              <w:rPr>
                <w:b/>
                <w:color w:val="FF0000"/>
              </w:rPr>
              <w:t>)</w:t>
            </w:r>
          </w:p>
          <w:p w:rsidR="00B36099" w:rsidRDefault="00B36099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25E" w:rsidRPr="00F1625E" w:rsidRDefault="00F1625E" w:rsidP="00B36099">
            <w:pPr>
              <w:rPr>
                <w:b/>
              </w:rPr>
            </w:pPr>
            <w:r w:rsidRPr="00F1625E">
              <w:rPr>
                <w:b/>
              </w:rPr>
              <w:t>KCAS Writing Standards for Literacy in History/Social Studies</w:t>
            </w:r>
          </w:p>
          <w:p w:rsidR="00F1625E" w:rsidRDefault="00F1625E" w:rsidP="00262A21">
            <w:r>
              <w:t>Write arguments focused on discipline-specific content.</w:t>
            </w:r>
          </w:p>
          <w:p w:rsidR="00402B42" w:rsidRDefault="00402B42" w:rsidP="00262A21">
            <w:pPr>
              <w:rPr>
                <w:color w:val="FF0000"/>
              </w:rPr>
            </w:pPr>
          </w:p>
          <w:p w:rsidR="009C5886" w:rsidRDefault="00402B42" w:rsidP="009C588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KCAS Writing Anchor Standards</w:t>
            </w:r>
          </w:p>
          <w:p w:rsidR="009C5886" w:rsidRPr="00C258C7" w:rsidRDefault="009C5886" w:rsidP="009C5886">
            <w:pPr>
              <w:rPr>
                <w:color w:val="FF0000"/>
              </w:rPr>
            </w:pPr>
            <w:r w:rsidRPr="00C258C7">
              <w:rPr>
                <w:color w:val="FF0000"/>
              </w:rPr>
              <w:t>1.</w:t>
            </w:r>
            <w:r w:rsidR="00C258C7" w:rsidRPr="00C258C7">
              <w:rPr>
                <w:color w:val="FF0000"/>
              </w:rPr>
              <w:t xml:space="preserve"> </w:t>
            </w:r>
            <w:r w:rsidR="00402B42" w:rsidRPr="00C258C7">
              <w:rPr>
                <w:color w:val="FF0000"/>
              </w:rPr>
              <w:t xml:space="preserve">Write arguments to support claims in an analysis of substantive topics or texts, using valid </w:t>
            </w:r>
            <w:r w:rsidR="00402B42" w:rsidRPr="00C258C7">
              <w:rPr>
                <w:color w:val="FF0000"/>
              </w:rPr>
              <w:lastRenderedPageBreak/>
              <w:t>reasoning and r</w:t>
            </w:r>
            <w:r w:rsidRPr="00C258C7">
              <w:rPr>
                <w:color w:val="FF0000"/>
              </w:rPr>
              <w:t>elevant and sufficient evidence.</w:t>
            </w:r>
          </w:p>
          <w:p w:rsidR="009C5886" w:rsidRPr="00C258C7" w:rsidRDefault="009C5886" w:rsidP="009C5886">
            <w:pPr>
              <w:rPr>
                <w:color w:val="FF0000"/>
              </w:rPr>
            </w:pPr>
          </w:p>
          <w:p w:rsidR="00402B42" w:rsidRPr="00C258C7" w:rsidRDefault="009C5886" w:rsidP="00402B42">
            <w:pPr>
              <w:rPr>
                <w:color w:val="FF0000"/>
              </w:rPr>
            </w:pPr>
            <w:r w:rsidRPr="00C258C7">
              <w:rPr>
                <w:color w:val="FF0000"/>
              </w:rPr>
              <w:t xml:space="preserve">8.  Gather information from multiple print and digital sources, assess the credibility and accuracy of each source, and integrate the information while avoiding plagiarism.   </w:t>
            </w:r>
          </w:p>
          <w:p w:rsidR="009C5886" w:rsidRPr="00C258C7" w:rsidRDefault="009C5886" w:rsidP="00402B42">
            <w:pPr>
              <w:rPr>
                <w:color w:val="FF0000"/>
              </w:rPr>
            </w:pPr>
          </w:p>
          <w:p w:rsidR="009C5886" w:rsidRPr="00C258C7" w:rsidRDefault="009C5886" w:rsidP="00402B42">
            <w:pPr>
              <w:rPr>
                <w:color w:val="FF0000"/>
              </w:rPr>
            </w:pPr>
            <w:r w:rsidRPr="00C258C7">
              <w:rPr>
                <w:color w:val="FF0000"/>
              </w:rPr>
              <w:t>9.  Draw evidence from literary or informational texts to support analysis, reflection and research.</w:t>
            </w:r>
          </w:p>
          <w:p w:rsidR="008A6C67" w:rsidRDefault="008A6C67" w:rsidP="008A6C67"/>
          <w:p w:rsidR="008A6C67" w:rsidRPr="008A6C67" w:rsidRDefault="008A6C67" w:rsidP="008A6C67">
            <w:pPr>
              <w:rPr>
                <w:b/>
              </w:rPr>
            </w:pPr>
            <w:r w:rsidRPr="008A6C67">
              <w:rPr>
                <w:b/>
              </w:rPr>
              <w:t>KCAS Reading Standards for Literacy in History/Social Studies</w:t>
            </w:r>
          </w:p>
          <w:p w:rsidR="008A6C67" w:rsidRDefault="008A6C67" w:rsidP="00262A21">
            <w:r>
              <w:t xml:space="preserve"> Cite specific textual evidence to support analysis of primary and secondary sources, connecting insights gained from specific details to an understanding of the text as a whole.</w:t>
            </w:r>
          </w:p>
          <w:p w:rsidR="001A7F5F" w:rsidRDefault="001A7F5F" w:rsidP="00262A21"/>
          <w:p w:rsidR="001A7F5F" w:rsidRDefault="001A7F5F" w:rsidP="001A7F5F">
            <w:pPr>
              <w:rPr>
                <w:b/>
                <w:u w:val="single"/>
              </w:rPr>
            </w:pPr>
            <w:r w:rsidRPr="001A7F5F">
              <w:rPr>
                <w:b/>
                <w:u w:val="single"/>
              </w:rPr>
              <w:t>Other References</w:t>
            </w:r>
          </w:p>
          <w:p w:rsidR="005B3CA0" w:rsidRDefault="005B3CA0" w:rsidP="005B3CA0">
            <w:r w:rsidRPr="00F1625E">
              <w:rPr>
                <w:b/>
              </w:rPr>
              <w:t>C3 Framework</w:t>
            </w:r>
            <w:r>
              <w:t>: Dimension 3 (p. 53)</w:t>
            </w:r>
          </w:p>
          <w:p w:rsidR="005B3CA0" w:rsidRDefault="005B3CA0" w:rsidP="005B3CA0"/>
          <w:p w:rsidR="005B3CA0" w:rsidRDefault="005B3CA0" w:rsidP="005B3CA0">
            <w:r w:rsidRPr="00F1625E">
              <w:rPr>
                <w:b/>
              </w:rPr>
              <w:t>Historical Thinking Skills</w:t>
            </w:r>
            <w:r>
              <w:t>: Skill 1</w:t>
            </w:r>
          </w:p>
          <w:p w:rsidR="005B3CA0" w:rsidRPr="001A7F5F" w:rsidRDefault="005B3CA0" w:rsidP="001A7F5F">
            <w:pPr>
              <w:rPr>
                <w:b/>
                <w:u w:val="single"/>
              </w:rPr>
            </w:pPr>
          </w:p>
          <w:p w:rsidR="00C80062" w:rsidRPr="00F1625E" w:rsidRDefault="00C80062" w:rsidP="00C80062">
            <w:pPr>
              <w:rPr>
                <w:b/>
              </w:rPr>
            </w:pPr>
            <w:r w:rsidRPr="00F1625E">
              <w:rPr>
                <w:b/>
              </w:rPr>
              <w:t xml:space="preserve">Quality Core </w:t>
            </w:r>
          </w:p>
          <w:p w:rsidR="00C80062" w:rsidRDefault="00C80062" w:rsidP="00C80062">
            <w:r>
              <w:t xml:space="preserve">Quality Core A. Exploring the Skills and Strategies Underlying US History 1. Process Objectives b.  </w:t>
            </w:r>
            <w:r w:rsidRPr="00E773CC">
              <w:t>Identify and interpret different types of primary and secondary sources of fundamental importance and relevance to topical inquiry and understanding</w:t>
            </w:r>
          </w:p>
          <w:p w:rsidR="00C80062" w:rsidRDefault="00C80062" w:rsidP="00C80062"/>
          <w:p w:rsidR="00C80062" w:rsidRDefault="00C80062" w:rsidP="00C80062">
            <w:r w:rsidRPr="000D34EF">
              <w:lastRenderedPageBreak/>
              <w:t xml:space="preserve">Quality Core A. Exploring the Skills and Strategies Underlying US </w:t>
            </w:r>
            <w:r>
              <w:t>History 1. Process Objectives f</w:t>
            </w:r>
            <w:r w:rsidRPr="000D34EF">
              <w:t>.  Utilize research strategies, methods, and sources to obtain, organize, and interpret historical data</w:t>
            </w:r>
          </w:p>
          <w:p w:rsidR="00C80062" w:rsidRDefault="00C80062" w:rsidP="00C80062"/>
          <w:p w:rsidR="00C80062" w:rsidRDefault="00C80062" w:rsidP="00C80062">
            <w:r w:rsidRPr="000D34EF">
              <w:t>Quality Core A. Exploring the Skills and Strategies Underlying US</w:t>
            </w:r>
            <w:r>
              <w:t xml:space="preserve"> History 1. Process Objectives g</w:t>
            </w:r>
            <w:r w:rsidRPr="000D34EF">
              <w:t>.  Compose arguments/position papers, and participate in debates on different interpretations of the same historical events; synthesize primary and secondary sources to justify position</w:t>
            </w:r>
          </w:p>
          <w:p w:rsidR="00C80062" w:rsidRDefault="00C80062" w:rsidP="00262A21"/>
          <w:p w:rsidR="00A00D72" w:rsidRDefault="00A00D72" w:rsidP="00B36099"/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99" w:rsidRDefault="00B36099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99" w:rsidRDefault="00B36099" w:rsidP="000047CD"/>
        </w:tc>
      </w:tr>
      <w:tr w:rsidR="00B36099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D8E" w:rsidRDefault="003C2D8E" w:rsidP="00B36099"/>
          <w:p w:rsidR="00B36099" w:rsidRPr="0054417C" w:rsidRDefault="003C2D8E" w:rsidP="00B36099">
            <w:pPr>
              <w:rPr>
                <w:b/>
                <w:color w:val="FF0000"/>
              </w:rPr>
            </w:pPr>
            <w:r>
              <w:t>Evaluate</w:t>
            </w:r>
            <w:r w:rsidR="00B36099">
              <w:t xml:space="preserve"> the credibility of source</w:t>
            </w:r>
            <w:r>
              <w:t>s.</w:t>
            </w:r>
            <w:r w:rsidR="00805BA7">
              <w:t xml:space="preserve"> </w:t>
            </w:r>
            <w:r w:rsidR="00805BA7" w:rsidRPr="0054417C">
              <w:rPr>
                <w:b/>
                <w:color w:val="FF0000"/>
              </w:rPr>
              <w:t>(</w:t>
            </w:r>
            <w:r w:rsidR="003456C2" w:rsidRPr="0054417C">
              <w:rPr>
                <w:b/>
                <w:color w:val="FF0000"/>
              </w:rPr>
              <w:t xml:space="preserve">Assess </w:t>
            </w:r>
            <w:r w:rsidR="00815484">
              <w:rPr>
                <w:b/>
                <w:color w:val="FF0000"/>
              </w:rPr>
              <w:t>and c</w:t>
            </w:r>
            <w:r w:rsidR="00514115" w:rsidRPr="0054417C">
              <w:rPr>
                <w:b/>
                <w:color w:val="FF0000"/>
              </w:rPr>
              <w:t>ritique</w:t>
            </w:r>
            <w:r w:rsidR="00815484">
              <w:rPr>
                <w:b/>
                <w:color w:val="FF0000"/>
              </w:rPr>
              <w:t xml:space="preserve"> the </w:t>
            </w:r>
            <w:r w:rsidR="00815484" w:rsidRPr="0054417C">
              <w:rPr>
                <w:b/>
                <w:color w:val="FF0000"/>
              </w:rPr>
              <w:t>credibility</w:t>
            </w:r>
            <w:r w:rsidR="003456C2" w:rsidRPr="0054417C">
              <w:rPr>
                <w:b/>
                <w:color w:val="FF0000"/>
              </w:rPr>
              <w:t xml:space="preserve"> and accuracy of sources</w:t>
            </w:r>
            <w:r w:rsidR="00815484">
              <w:rPr>
                <w:b/>
                <w:color w:val="FF0000"/>
              </w:rPr>
              <w:t>.</w:t>
            </w:r>
            <w:r w:rsidR="00805BA7" w:rsidRPr="0054417C">
              <w:rPr>
                <w:b/>
                <w:color w:val="FF0000"/>
              </w:rPr>
              <w:t>)</w:t>
            </w:r>
          </w:p>
          <w:p w:rsidR="00B36099" w:rsidRDefault="00B36099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F0" w:rsidRPr="002B57F0" w:rsidRDefault="002B57F0" w:rsidP="002B57F0">
            <w:pPr>
              <w:rPr>
                <w:b/>
              </w:rPr>
            </w:pPr>
            <w:r w:rsidRPr="002B57F0">
              <w:rPr>
                <w:b/>
              </w:rPr>
              <w:t>KCAS Writing Standards for Literacy in History/Social Studies</w:t>
            </w:r>
          </w:p>
          <w:p w:rsidR="002B57F0" w:rsidRDefault="00DD3C55" w:rsidP="002B57F0">
            <w:r>
              <w:t xml:space="preserve">8.   </w:t>
            </w:r>
            <w:r w:rsidRPr="00DD3C55">
              <w:t>Gather relevant information from multiple authoritative print and digital sources, using advanced searches effectively; assess the strengths and limitations of each source in terms of the task, purpose, and audience; integrate information into the text selectively to maintain the flow of ideas, avoiding plagiarism and overreliance on any one source and following a standard format for citation.</w:t>
            </w:r>
          </w:p>
          <w:p w:rsidR="004F109D" w:rsidRDefault="004F109D" w:rsidP="00B36099"/>
          <w:p w:rsidR="004F109D" w:rsidRPr="005C0097" w:rsidRDefault="004F109D" w:rsidP="00B36099">
            <w:pPr>
              <w:rPr>
                <w:b/>
              </w:rPr>
            </w:pPr>
            <w:r w:rsidRPr="005C0097">
              <w:rPr>
                <w:b/>
              </w:rPr>
              <w:t>KCAS Reading Standards for Literacy in History/Social Studies</w:t>
            </w:r>
          </w:p>
          <w:p w:rsidR="004F109D" w:rsidRDefault="004F109D" w:rsidP="00B36099"/>
          <w:p w:rsidR="005C0097" w:rsidRDefault="005C0097" w:rsidP="005C0097">
            <w:r>
              <w:lastRenderedPageBreak/>
              <w:t>6.   Evaluate authors’ differing points of view on the same</w:t>
            </w:r>
          </w:p>
          <w:p w:rsidR="005C0097" w:rsidRDefault="005C0097" w:rsidP="005C0097">
            <w:r>
              <w:t>historical event or issue by assessing the authors’ claims,</w:t>
            </w:r>
          </w:p>
          <w:p w:rsidR="005C0097" w:rsidRDefault="005C0097" w:rsidP="005C0097">
            <w:r>
              <w:t>reasoning, and evidence.</w:t>
            </w:r>
          </w:p>
          <w:p w:rsidR="004D7E62" w:rsidRDefault="004D7E62" w:rsidP="005C0097"/>
          <w:p w:rsidR="004D7E62" w:rsidRPr="0054417C" w:rsidRDefault="004D7E62" w:rsidP="005C0097">
            <w:pPr>
              <w:rPr>
                <w:b/>
                <w:color w:val="FF0000"/>
              </w:rPr>
            </w:pPr>
            <w:r w:rsidRPr="0054417C">
              <w:rPr>
                <w:b/>
                <w:color w:val="FF0000"/>
              </w:rPr>
              <w:t xml:space="preserve">KCAS </w:t>
            </w:r>
            <w:r w:rsidR="002827F9" w:rsidRPr="0054417C">
              <w:rPr>
                <w:b/>
                <w:color w:val="FF0000"/>
              </w:rPr>
              <w:t>Speaking and Listening Anchor Standards</w:t>
            </w:r>
          </w:p>
          <w:p w:rsidR="002827F9" w:rsidRPr="00C258C7" w:rsidRDefault="002827F9" w:rsidP="005C0097">
            <w:pPr>
              <w:rPr>
                <w:color w:val="FF0000"/>
              </w:rPr>
            </w:pPr>
            <w:r w:rsidRPr="00C258C7">
              <w:rPr>
                <w:color w:val="FF0000"/>
              </w:rPr>
              <w:t xml:space="preserve">2.  Integrate and evaluate information presented in diverse media and formats, including </w:t>
            </w:r>
            <w:r w:rsidR="008C775E" w:rsidRPr="00C258C7">
              <w:rPr>
                <w:color w:val="FF0000"/>
              </w:rPr>
              <w:t>visually, quantitatively and orally.</w:t>
            </w:r>
          </w:p>
          <w:p w:rsidR="008C775E" w:rsidRPr="00C258C7" w:rsidRDefault="008C775E" w:rsidP="005C0097">
            <w:pPr>
              <w:rPr>
                <w:color w:val="FF0000"/>
              </w:rPr>
            </w:pPr>
          </w:p>
          <w:p w:rsidR="008C775E" w:rsidRPr="00C258C7" w:rsidRDefault="008C775E" w:rsidP="005C0097">
            <w:pPr>
              <w:rPr>
                <w:color w:val="FF0000"/>
              </w:rPr>
            </w:pPr>
            <w:r w:rsidRPr="00C258C7">
              <w:rPr>
                <w:color w:val="FF0000"/>
              </w:rPr>
              <w:t xml:space="preserve">3.  Evaluate a speaker’s point of view, reasoning and use of evidence and rhetoric. </w:t>
            </w:r>
          </w:p>
          <w:p w:rsidR="001A7F5F" w:rsidRDefault="001A7F5F" w:rsidP="005C0097"/>
          <w:p w:rsidR="001A7F5F" w:rsidRDefault="001A7F5F" w:rsidP="001A7F5F">
            <w:pPr>
              <w:rPr>
                <w:b/>
                <w:u w:val="single"/>
              </w:rPr>
            </w:pPr>
            <w:r w:rsidRPr="001A7F5F">
              <w:rPr>
                <w:b/>
                <w:u w:val="single"/>
              </w:rPr>
              <w:t>Other References</w:t>
            </w:r>
          </w:p>
          <w:p w:rsidR="005B3CA0" w:rsidRDefault="005B3CA0" w:rsidP="005B3CA0">
            <w:pPr>
              <w:jc w:val="center"/>
            </w:pPr>
            <w:r w:rsidRPr="00F1625E">
              <w:rPr>
                <w:b/>
              </w:rPr>
              <w:t>C3 Framework</w:t>
            </w:r>
            <w:r>
              <w:t>: Dimension 3 (p. 53)</w:t>
            </w:r>
          </w:p>
          <w:p w:rsidR="005B3CA0" w:rsidRDefault="005B3CA0" w:rsidP="005B3CA0"/>
          <w:p w:rsidR="005B3CA0" w:rsidRDefault="005B3CA0" w:rsidP="005B3CA0">
            <w:r w:rsidRPr="00F1625E">
              <w:rPr>
                <w:b/>
              </w:rPr>
              <w:t>Historical Thinking Skills</w:t>
            </w:r>
            <w:r>
              <w:t>: Skill 1</w:t>
            </w:r>
          </w:p>
          <w:p w:rsidR="005B3CA0" w:rsidRPr="001A7F5F" w:rsidRDefault="005B3CA0" w:rsidP="001A7F5F">
            <w:pPr>
              <w:rPr>
                <w:b/>
                <w:u w:val="single"/>
              </w:rPr>
            </w:pPr>
          </w:p>
          <w:p w:rsidR="00C80062" w:rsidRPr="00F1625E" w:rsidRDefault="00C80062" w:rsidP="00C80062">
            <w:pPr>
              <w:rPr>
                <w:b/>
              </w:rPr>
            </w:pPr>
            <w:r w:rsidRPr="00F1625E">
              <w:rPr>
                <w:b/>
              </w:rPr>
              <w:t>Quality Core</w:t>
            </w:r>
          </w:p>
          <w:p w:rsidR="00C80062" w:rsidRDefault="00C80062" w:rsidP="00C80062"/>
          <w:p w:rsidR="00C80062" w:rsidRDefault="00C80062" w:rsidP="00C80062">
            <w:r w:rsidRPr="00B479AC">
              <w:t>Quality Core A. Exploring the Skills and Strategies Underlying US</w:t>
            </w:r>
            <w:r>
              <w:t xml:space="preserve"> History 1. Process Objectives d</w:t>
            </w:r>
            <w:r w:rsidRPr="00B479AC">
              <w:t>.  Analyze the importance of context and point of view in historical interpretation (e.g., interpret past events and issues in historical context rather than in terms of present norms and values); recognize that historians interpret the same events differently due to personal values and societal norms</w:t>
            </w:r>
          </w:p>
          <w:p w:rsidR="00C80062" w:rsidRDefault="00C80062" w:rsidP="00C80062"/>
          <w:p w:rsidR="00C80062" w:rsidRDefault="00C80062" w:rsidP="00C80062">
            <w:r w:rsidRPr="00A278F2">
              <w:t xml:space="preserve">Quality Core A. Exploring the Skills </w:t>
            </w:r>
            <w:r w:rsidRPr="00A278F2">
              <w:lastRenderedPageBreak/>
              <w:t>and Strategies Underlying US History 1. Process Objectives</w:t>
            </w:r>
            <w:r>
              <w:t xml:space="preserve"> e</w:t>
            </w:r>
            <w:r w:rsidRPr="00A278F2">
              <w:t>.  Analyze and evaluate historical sources and interpretations (e.g., credibility, perspective, bias, and authenticity; verifiable or unverifiable; fact or interpretation)</w:t>
            </w:r>
          </w:p>
          <w:p w:rsidR="00C80062" w:rsidRDefault="00C80062" w:rsidP="005C0097"/>
          <w:p w:rsidR="00A00D72" w:rsidRDefault="00A00D72" w:rsidP="00B36099"/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99" w:rsidRDefault="00B36099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99" w:rsidRDefault="00B36099" w:rsidP="000047CD"/>
        </w:tc>
      </w:tr>
      <w:tr w:rsidR="00C612C9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9" w:rsidRPr="00B67834" w:rsidRDefault="00B67834" w:rsidP="00B3609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Read and comprehend complex texts to evaluate and support conclusions. 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34" w:rsidRDefault="00B67834" w:rsidP="00D63E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KCAS Reading Anchor Standard</w:t>
            </w:r>
            <w:r w:rsidR="00EE0C70">
              <w:rPr>
                <w:b/>
                <w:color w:val="FF0000"/>
              </w:rPr>
              <w:t>s</w:t>
            </w:r>
          </w:p>
          <w:p w:rsidR="00D63E34" w:rsidRPr="00C258C7" w:rsidRDefault="00D63E34" w:rsidP="00D63E34">
            <w:pPr>
              <w:rPr>
                <w:color w:val="FF0000"/>
              </w:rPr>
            </w:pPr>
            <w:r w:rsidRPr="00C258C7">
              <w:rPr>
                <w:color w:val="FF0000"/>
              </w:rPr>
              <w:t>1.</w:t>
            </w:r>
            <w:r w:rsidR="00C258C7" w:rsidRPr="00C258C7">
              <w:rPr>
                <w:color w:val="FF0000"/>
              </w:rPr>
              <w:t xml:space="preserve"> </w:t>
            </w:r>
            <w:r w:rsidR="00EE0C70" w:rsidRPr="00C258C7">
              <w:rPr>
                <w:color w:val="FF0000"/>
              </w:rPr>
              <w:t xml:space="preserve">Read closely to determine what the text says explicitly </w:t>
            </w:r>
            <w:r w:rsidR="004D731C" w:rsidRPr="00C258C7">
              <w:rPr>
                <w:color w:val="FF0000"/>
              </w:rPr>
              <w:t>and to make logical inferences from it; cite specific textual evidence when writing or speaking to support conclusions drawn from a text.</w:t>
            </w:r>
          </w:p>
          <w:p w:rsidR="00D63E34" w:rsidRPr="00C258C7" w:rsidRDefault="00D63E34" w:rsidP="00D63E34">
            <w:pPr>
              <w:rPr>
                <w:color w:val="FF0000"/>
              </w:rPr>
            </w:pPr>
          </w:p>
          <w:p w:rsidR="004D731C" w:rsidRPr="00D63E34" w:rsidRDefault="004D731C" w:rsidP="008D7AF5">
            <w:pPr>
              <w:rPr>
                <w:b/>
                <w:color w:val="FF0000"/>
              </w:rPr>
            </w:pPr>
            <w:r w:rsidRPr="00C258C7">
              <w:rPr>
                <w:color w:val="FF0000"/>
              </w:rPr>
              <w:t xml:space="preserve"> </w:t>
            </w:r>
            <w:r w:rsidR="008D7AF5" w:rsidRPr="00C258C7">
              <w:rPr>
                <w:color w:val="FF0000"/>
              </w:rPr>
              <w:t>10.</w:t>
            </w:r>
            <w:r w:rsidR="00C258C7">
              <w:rPr>
                <w:color w:val="FF0000"/>
              </w:rPr>
              <w:t xml:space="preserve"> </w:t>
            </w:r>
            <w:r w:rsidR="008D7AF5" w:rsidRPr="00C258C7">
              <w:rPr>
                <w:color w:val="FF0000"/>
              </w:rPr>
              <w:t>R</w:t>
            </w:r>
            <w:r w:rsidR="00D63E34" w:rsidRPr="00C258C7">
              <w:rPr>
                <w:color w:val="FF0000"/>
              </w:rPr>
              <w:t>ead and comprehend complex literary and informational texts independently and proficiently.</w:t>
            </w:r>
            <w:r w:rsidR="00D63E34" w:rsidRPr="00D63E34">
              <w:rPr>
                <w:b/>
                <w:color w:val="FF0000"/>
              </w:rPr>
              <w:t xml:space="preserve">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9" w:rsidRDefault="00C612C9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9" w:rsidRDefault="00C612C9" w:rsidP="000047CD"/>
        </w:tc>
      </w:tr>
      <w:tr w:rsidR="00B36099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D8E" w:rsidRDefault="003C2D8E" w:rsidP="000047CD"/>
          <w:p w:rsidR="004E7C0C" w:rsidRPr="00EA2135" w:rsidRDefault="003C2D8E" w:rsidP="000047CD">
            <w:pPr>
              <w:rPr>
                <w:b/>
                <w:color w:val="FF0000"/>
              </w:rPr>
            </w:pPr>
            <w:r>
              <w:t>Communicate</w:t>
            </w:r>
            <w:r w:rsidR="00B36099">
              <w:t xml:space="preserve"> conclusions to a range of audiences</w:t>
            </w:r>
            <w:r w:rsidR="0017113A">
              <w:t xml:space="preserve"> </w:t>
            </w:r>
            <w:r w:rsidR="00EA2135" w:rsidRPr="00EA2135">
              <w:rPr>
                <w:b/>
                <w:color w:val="FF0000"/>
              </w:rPr>
              <w:t>for a specific purpose</w:t>
            </w:r>
            <w:r w:rsidR="00EA2135">
              <w:rPr>
                <w:b/>
                <w:color w:val="FF0000"/>
              </w:rPr>
              <w:t>.</w:t>
            </w:r>
          </w:p>
          <w:p w:rsidR="00B36099" w:rsidRPr="0054417C" w:rsidRDefault="0017113A" w:rsidP="000047CD">
            <w:pPr>
              <w:rPr>
                <w:b/>
                <w:color w:val="FF0000"/>
              </w:rPr>
            </w:pPr>
            <w:r w:rsidRPr="0054417C">
              <w:rPr>
                <w:b/>
                <w:color w:val="FF0000"/>
              </w:rPr>
              <w:t xml:space="preserve"> </w:t>
            </w:r>
          </w:p>
          <w:p w:rsidR="00B36099" w:rsidRDefault="00B36099" w:rsidP="000047CD"/>
          <w:p w:rsidR="00B36099" w:rsidRDefault="00B36099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26" w:rsidRDefault="005F1126" w:rsidP="009757F4">
            <w:pPr>
              <w:rPr>
                <w:b/>
              </w:rPr>
            </w:pPr>
            <w:r w:rsidRPr="005F1126">
              <w:rPr>
                <w:b/>
              </w:rPr>
              <w:t>KCAS Writing Standards for Literacy in History/Social Studies</w:t>
            </w:r>
          </w:p>
          <w:p w:rsidR="005D1CB6" w:rsidRPr="00C258C7" w:rsidRDefault="0000711A" w:rsidP="009757F4">
            <w:pPr>
              <w:rPr>
                <w:color w:val="FF0000"/>
              </w:rPr>
            </w:pPr>
            <w:r w:rsidRPr="00C258C7">
              <w:rPr>
                <w:color w:val="FF0000"/>
              </w:rPr>
              <w:t>1.</w:t>
            </w:r>
            <w:r w:rsidR="001032C4" w:rsidRPr="00C258C7">
              <w:rPr>
                <w:color w:val="FF0000"/>
              </w:rPr>
              <w:t xml:space="preserve"> Write arguments to support claims in an analysis of substantive topic</w:t>
            </w:r>
            <w:r w:rsidR="000D26A0" w:rsidRPr="00C258C7">
              <w:rPr>
                <w:color w:val="FF0000"/>
              </w:rPr>
              <w:t>s or text</w:t>
            </w:r>
            <w:r w:rsidR="001032C4" w:rsidRPr="00C258C7">
              <w:rPr>
                <w:color w:val="FF0000"/>
              </w:rPr>
              <w:t>s</w:t>
            </w:r>
            <w:r w:rsidR="000D26A0" w:rsidRPr="00C258C7">
              <w:rPr>
                <w:color w:val="FF0000"/>
              </w:rPr>
              <w:t>, using valid reasoning and relevant and sufficient evidence.</w:t>
            </w:r>
            <w:r w:rsidR="001032C4" w:rsidRPr="00C258C7">
              <w:rPr>
                <w:color w:val="FF0000"/>
              </w:rPr>
              <w:t xml:space="preserve"> </w:t>
            </w:r>
          </w:p>
          <w:p w:rsidR="0000711A" w:rsidRPr="00C258C7" w:rsidRDefault="0000711A" w:rsidP="009757F4">
            <w:pPr>
              <w:rPr>
                <w:color w:val="FF0000"/>
              </w:rPr>
            </w:pPr>
            <w:r w:rsidRPr="00C258C7">
              <w:rPr>
                <w:color w:val="FF0000"/>
              </w:rPr>
              <w:t>2.</w:t>
            </w:r>
            <w:r w:rsidR="00C258C7" w:rsidRPr="00C258C7">
              <w:rPr>
                <w:color w:val="FF0000"/>
              </w:rPr>
              <w:t xml:space="preserve"> </w:t>
            </w:r>
            <w:r w:rsidR="004B254A" w:rsidRPr="00C258C7">
              <w:rPr>
                <w:color w:val="FF0000"/>
              </w:rPr>
              <w:t>Write informative/explanatory texts to examine and convey complex ideas and information clearly and accurately through the effective selection, organi</w:t>
            </w:r>
            <w:r w:rsidR="00C258C7" w:rsidRPr="00C258C7">
              <w:rPr>
                <w:color w:val="FF0000"/>
              </w:rPr>
              <w:t>zation and analysis of content.</w:t>
            </w:r>
          </w:p>
          <w:p w:rsidR="005F1126" w:rsidRDefault="005F1126" w:rsidP="005D1CB6">
            <w:r>
              <w:t xml:space="preserve">4.  Produce clear and coherent writing in which the development, organization, and style are </w:t>
            </w:r>
            <w:r>
              <w:lastRenderedPageBreak/>
              <w:t xml:space="preserve">appropriate </w:t>
            </w:r>
            <w:r w:rsidR="005D1CB6">
              <w:t>to task, purpose, and audience.</w:t>
            </w:r>
          </w:p>
          <w:p w:rsidR="005B3CA0" w:rsidRDefault="005B3CA0" w:rsidP="005D1CB6">
            <w:pPr>
              <w:rPr>
                <w:color w:val="FF0000"/>
              </w:rPr>
            </w:pPr>
          </w:p>
          <w:p w:rsidR="004E7C0C" w:rsidRPr="0054417C" w:rsidRDefault="004E7C0C" w:rsidP="005D1CB6">
            <w:pPr>
              <w:rPr>
                <w:b/>
                <w:color w:val="FF0000"/>
              </w:rPr>
            </w:pPr>
            <w:r w:rsidRPr="0054417C">
              <w:rPr>
                <w:b/>
                <w:color w:val="FF0000"/>
              </w:rPr>
              <w:t>KCAS Speaking and Listening Anchor Standard</w:t>
            </w:r>
          </w:p>
          <w:p w:rsidR="004E7C0C" w:rsidRPr="00C258C7" w:rsidRDefault="004E7C0C" w:rsidP="005D1CB6">
            <w:pPr>
              <w:rPr>
                <w:color w:val="FF0000"/>
              </w:rPr>
            </w:pPr>
            <w:r w:rsidRPr="00C258C7">
              <w:rPr>
                <w:color w:val="FF0000"/>
              </w:rPr>
              <w:t xml:space="preserve">4.  Present information, findings and supporting evidence such that listeners can follow the line of </w:t>
            </w:r>
            <w:r w:rsidR="004D7E62" w:rsidRPr="00C258C7">
              <w:rPr>
                <w:color w:val="FF0000"/>
              </w:rPr>
              <w:t>reasoning and the organization, development and style are appropriate to task, purpose and audience.</w:t>
            </w:r>
          </w:p>
          <w:p w:rsidR="005B3CA0" w:rsidRPr="005B3CA0" w:rsidRDefault="005B3CA0" w:rsidP="005D1CB6">
            <w:pPr>
              <w:rPr>
                <w:b/>
                <w:u w:val="single"/>
              </w:rPr>
            </w:pPr>
            <w:r w:rsidRPr="005B3CA0">
              <w:rPr>
                <w:b/>
                <w:u w:val="single"/>
              </w:rPr>
              <w:t>Other References</w:t>
            </w:r>
          </w:p>
          <w:p w:rsidR="005B3CA0" w:rsidRDefault="005B3CA0" w:rsidP="005B3CA0">
            <w:r w:rsidRPr="00F1625E">
              <w:rPr>
                <w:b/>
              </w:rPr>
              <w:t>C3 Framework</w:t>
            </w:r>
            <w:r>
              <w:t>: Dimension 4 (p. 60)</w:t>
            </w:r>
          </w:p>
          <w:p w:rsidR="005B3CA0" w:rsidRDefault="005B3CA0" w:rsidP="005D1CB6"/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99" w:rsidRDefault="00B36099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99" w:rsidRDefault="00B36099" w:rsidP="000047CD"/>
        </w:tc>
      </w:tr>
      <w:tr w:rsidR="001E3782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82" w:rsidRDefault="001E3782" w:rsidP="001E3782">
            <w:r>
              <w:lastRenderedPageBreak/>
              <w:t>Critique your own work as well as the work of others</w:t>
            </w:r>
          </w:p>
          <w:p w:rsidR="001E3782" w:rsidRDefault="001E3782" w:rsidP="00343433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82" w:rsidRPr="00F53864" w:rsidRDefault="001E3782" w:rsidP="001E3782">
            <w:pPr>
              <w:rPr>
                <w:b/>
              </w:rPr>
            </w:pPr>
            <w:r w:rsidRPr="00F53864">
              <w:rPr>
                <w:b/>
              </w:rPr>
              <w:t>KCAS Writing Standards for Literacy in History/Social Studies</w:t>
            </w:r>
          </w:p>
          <w:p w:rsidR="001E3782" w:rsidRDefault="001E3782" w:rsidP="001E3782"/>
          <w:p w:rsidR="001E3782" w:rsidRDefault="001E3782" w:rsidP="001E3782">
            <w:r>
              <w:t xml:space="preserve">5.   </w:t>
            </w:r>
            <w:r w:rsidRPr="00F53864">
              <w:t>Develop and strengthen writing as needed by planning, revising, editing, rewriting, or trying a new approach, focusing on addressing what is most significant for a specific purpose and audience.</w:t>
            </w:r>
          </w:p>
          <w:p w:rsidR="001E3782" w:rsidRDefault="001E3782" w:rsidP="001E3782"/>
          <w:p w:rsidR="001E3782" w:rsidRPr="003C2D8E" w:rsidRDefault="001E3782" w:rsidP="001E3782">
            <w:r w:rsidRPr="003C2D8E">
              <w:t>CCR AS S&amp;L #3</w:t>
            </w:r>
          </w:p>
          <w:p w:rsidR="001E3782" w:rsidRDefault="001E3782" w:rsidP="001E3782">
            <w:r w:rsidRPr="003C2D8E">
              <w:t>CCR AS R #8</w:t>
            </w:r>
          </w:p>
          <w:p w:rsidR="005B3CA0" w:rsidRDefault="005B3CA0" w:rsidP="001E3782"/>
          <w:p w:rsidR="005B3CA0" w:rsidRPr="005B3CA0" w:rsidRDefault="005B3CA0" w:rsidP="005B3CA0">
            <w:pPr>
              <w:rPr>
                <w:b/>
                <w:u w:val="single"/>
              </w:rPr>
            </w:pPr>
            <w:r w:rsidRPr="005B3CA0">
              <w:rPr>
                <w:b/>
                <w:u w:val="single"/>
              </w:rPr>
              <w:t>Other References</w:t>
            </w:r>
          </w:p>
          <w:p w:rsidR="005B3CA0" w:rsidRDefault="005B3CA0" w:rsidP="005B3CA0">
            <w:r w:rsidRPr="00F1625E">
              <w:rPr>
                <w:b/>
              </w:rPr>
              <w:t>C3 Framework</w:t>
            </w:r>
            <w:r>
              <w:t>: Dimension 4  (p. 61)</w:t>
            </w:r>
          </w:p>
          <w:p w:rsidR="005B3CA0" w:rsidRPr="001E3782" w:rsidRDefault="005B3CA0" w:rsidP="001E3782"/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82" w:rsidRDefault="001E3782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82" w:rsidRDefault="001E3782" w:rsidP="000047CD"/>
        </w:tc>
      </w:tr>
      <w:tr w:rsidR="00343433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433" w:rsidRPr="00767915" w:rsidRDefault="00343433" w:rsidP="001E3782">
            <w:pPr>
              <w:rPr>
                <w:b/>
                <w:color w:val="FF0000"/>
              </w:rPr>
            </w:pPr>
            <w:r w:rsidRPr="00767915">
              <w:rPr>
                <w:b/>
                <w:color w:val="FF0000"/>
              </w:rPr>
              <w:t>Collaborate with diverse groups</w:t>
            </w:r>
            <w:r w:rsidR="00E417FB">
              <w:rPr>
                <w:b/>
                <w:color w:val="FF0000"/>
              </w:rPr>
              <w:t xml:space="preserve"> and engage in meaning</w:t>
            </w:r>
            <w:r w:rsidR="00BA0D01">
              <w:rPr>
                <w:b/>
                <w:color w:val="FF0000"/>
              </w:rPr>
              <w:t>ful conversations around a topic.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C7" w:rsidRPr="00C258C7" w:rsidRDefault="00343433" w:rsidP="00C258C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KCAS Speaking and Listening Anchor Standard</w:t>
            </w:r>
          </w:p>
          <w:p w:rsidR="00343433" w:rsidRPr="00C258C7" w:rsidRDefault="00C258C7" w:rsidP="00C258C7">
            <w:pPr>
              <w:rPr>
                <w:color w:val="FF0000"/>
              </w:rPr>
            </w:pPr>
            <w:r>
              <w:rPr>
                <w:color w:val="FF0000"/>
              </w:rPr>
              <w:t xml:space="preserve">1. </w:t>
            </w:r>
            <w:r w:rsidRPr="00C258C7">
              <w:rPr>
                <w:color w:val="FF0000"/>
              </w:rPr>
              <w:t xml:space="preserve">Prepare for and participate </w:t>
            </w:r>
            <w:r w:rsidR="00343433" w:rsidRPr="00C258C7">
              <w:rPr>
                <w:color w:val="FF0000"/>
              </w:rPr>
              <w:t xml:space="preserve">effectively in a range of conversations and collaborations </w:t>
            </w:r>
            <w:r w:rsidR="00343433" w:rsidRPr="00C258C7">
              <w:rPr>
                <w:color w:val="FF0000"/>
              </w:rPr>
              <w:lastRenderedPageBreak/>
              <w:t xml:space="preserve">with diverse partners, building on others’ ideas and expressing their own clearly and persuasively.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433" w:rsidRDefault="00343433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433" w:rsidRDefault="00343433" w:rsidP="000047CD"/>
        </w:tc>
      </w:tr>
      <w:tr w:rsidR="001E3782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82" w:rsidRDefault="001E3782" w:rsidP="001E3782">
            <w:r>
              <w:lastRenderedPageBreak/>
              <w:t>Take informed action</w:t>
            </w:r>
          </w:p>
          <w:p w:rsidR="001E3782" w:rsidRDefault="001E3782" w:rsidP="001E3782"/>
          <w:p w:rsidR="001E3782" w:rsidRDefault="001E3782" w:rsidP="001E3782"/>
          <w:p w:rsidR="001E3782" w:rsidRDefault="001E3782" w:rsidP="001E3782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CA0" w:rsidRPr="005B3CA0" w:rsidRDefault="005B3CA0" w:rsidP="005B3CA0">
            <w:pPr>
              <w:rPr>
                <w:b/>
                <w:u w:val="single"/>
              </w:rPr>
            </w:pPr>
            <w:r w:rsidRPr="005B3CA0">
              <w:rPr>
                <w:b/>
                <w:u w:val="single"/>
              </w:rPr>
              <w:t>Other References</w:t>
            </w:r>
          </w:p>
          <w:p w:rsidR="001E3782" w:rsidRPr="00F1625E" w:rsidRDefault="001E3782" w:rsidP="001E3782">
            <w:pPr>
              <w:rPr>
                <w:b/>
              </w:rPr>
            </w:pPr>
            <w:r w:rsidRPr="00F1625E">
              <w:rPr>
                <w:b/>
              </w:rPr>
              <w:t>C3 Framework</w:t>
            </w:r>
            <w:r>
              <w:t>: Dimension 4 (p. 62)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82" w:rsidRDefault="001E3782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82" w:rsidRDefault="001E3782" w:rsidP="000047CD"/>
        </w:tc>
      </w:tr>
      <w:tr w:rsidR="001E3782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82" w:rsidRPr="00767915" w:rsidRDefault="00950A0F" w:rsidP="000047CD">
            <w:pPr>
              <w:rPr>
                <w:b/>
                <w:color w:val="FF0000"/>
              </w:rPr>
            </w:pPr>
            <w:r w:rsidRPr="00767915">
              <w:rPr>
                <w:b/>
                <w:color w:val="FF0000"/>
              </w:rPr>
              <w:t xml:space="preserve">Create and critique arguments and explanations to address pubic issues independently and collaboratively.  </w:t>
            </w:r>
          </w:p>
          <w:p w:rsidR="001E3782" w:rsidRDefault="001E3782" w:rsidP="000047CD"/>
          <w:p w:rsidR="001E3782" w:rsidRDefault="001E3782" w:rsidP="000047CD"/>
          <w:p w:rsidR="001E3782" w:rsidRDefault="001E3782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915" w:rsidRDefault="00767915" w:rsidP="007679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KCAS Reading Anchor Standards</w:t>
            </w:r>
          </w:p>
          <w:p w:rsidR="0079789C" w:rsidRPr="00C258C7" w:rsidRDefault="00767915" w:rsidP="00767915">
            <w:pPr>
              <w:rPr>
                <w:color w:val="FF0000"/>
              </w:rPr>
            </w:pPr>
            <w:r w:rsidRPr="00C258C7">
              <w:rPr>
                <w:color w:val="FF0000"/>
              </w:rPr>
              <w:t xml:space="preserve">1. </w:t>
            </w:r>
            <w:r w:rsidR="00950A0F" w:rsidRPr="00C258C7">
              <w:rPr>
                <w:color w:val="FF0000"/>
              </w:rPr>
              <w:t>Read closely to determine what the text says explicitly and to make logical inferences from it; cite specific textual evidence when writing or speakin</w:t>
            </w:r>
            <w:r w:rsidR="0079789C" w:rsidRPr="00C258C7">
              <w:rPr>
                <w:color w:val="FF0000"/>
              </w:rPr>
              <w:t xml:space="preserve">g to support conclusions drawn from the text.  </w:t>
            </w:r>
          </w:p>
          <w:p w:rsidR="00767915" w:rsidRPr="00C258C7" w:rsidRDefault="00767915" w:rsidP="0079789C">
            <w:pPr>
              <w:rPr>
                <w:color w:val="FF0000"/>
              </w:rPr>
            </w:pPr>
          </w:p>
          <w:p w:rsidR="00A56DB8" w:rsidRPr="00C258C7" w:rsidRDefault="0079789C" w:rsidP="0079789C">
            <w:pPr>
              <w:rPr>
                <w:color w:val="FF0000"/>
              </w:rPr>
            </w:pPr>
            <w:r w:rsidRPr="00C258C7">
              <w:rPr>
                <w:color w:val="FF0000"/>
              </w:rPr>
              <w:t xml:space="preserve">7.  </w:t>
            </w:r>
            <w:r w:rsidR="00A56DB8" w:rsidRPr="00C258C7">
              <w:rPr>
                <w:color w:val="FF0000"/>
              </w:rPr>
              <w:t>Integrate and evaluate content presented in diverse media and formats, including visually and quantitatively, as well as in words.</w:t>
            </w:r>
          </w:p>
          <w:p w:rsidR="00A56DB8" w:rsidRPr="00C258C7" w:rsidRDefault="00A56DB8" w:rsidP="0079789C">
            <w:pPr>
              <w:rPr>
                <w:color w:val="FF0000"/>
              </w:rPr>
            </w:pPr>
          </w:p>
          <w:p w:rsidR="00767915" w:rsidRPr="00C258C7" w:rsidRDefault="00A56DB8" w:rsidP="0079789C">
            <w:pPr>
              <w:rPr>
                <w:color w:val="FF0000"/>
              </w:rPr>
            </w:pPr>
            <w:r w:rsidRPr="00C258C7">
              <w:rPr>
                <w:color w:val="FF0000"/>
              </w:rPr>
              <w:t xml:space="preserve">8.  Delineate and evaluate the argument and specific claims in a text; including the validity </w:t>
            </w:r>
            <w:r w:rsidR="00767915" w:rsidRPr="00C258C7">
              <w:rPr>
                <w:color w:val="FF0000"/>
              </w:rPr>
              <w:t>of the reasoning as well as the relevance and sufficiency of the evidence.</w:t>
            </w:r>
          </w:p>
          <w:p w:rsidR="00767915" w:rsidRPr="00C258C7" w:rsidRDefault="00767915" w:rsidP="0079789C">
            <w:pPr>
              <w:rPr>
                <w:color w:val="FF0000"/>
              </w:rPr>
            </w:pPr>
          </w:p>
          <w:p w:rsidR="0079789C" w:rsidRPr="0079789C" w:rsidRDefault="00767915" w:rsidP="0079789C">
            <w:pPr>
              <w:rPr>
                <w:b/>
                <w:color w:val="FF0000"/>
              </w:rPr>
            </w:pPr>
            <w:r w:rsidRPr="00C258C7">
              <w:rPr>
                <w:color w:val="FF0000"/>
              </w:rPr>
              <w:t>10.  Read and comprehend complex literacy and informational texts independently and proficiently.</w:t>
            </w:r>
            <w:r>
              <w:rPr>
                <w:b/>
                <w:color w:val="FF0000"/>
              </w:rPr>
              <w:t xml:space="preserve">  </w:t>
            </w:r>
            <w:r w:rsidR="0079789C" w:rsidRPr="0079789C">
              <w:rPr>
                <w:b/>
                <w:color w:val="FF0000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82" w:rsidRDefault="001E3782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82" w:rsidRDefault="001E3782" w:rsidP="000047CD"/>
        </w:tc>
      </w:tr>
    </w:tbl>
    <w:p w:rsidR="000047CD" w:rsidRDefault="000047CD"/>
    <w:sectPr w:rsidR="000047CD" w:rsidSect="000047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40" w:rsidRDefault="006B6340" w:rsidP="003C2D8E">
      <w:r>
        <w:separator/>
      </w:r>
    </w:p>
  </w:endnote>
  <w:endnote w:type="continuationSeparator" w:id="0">
    <w:p w:rsidR="006B6340" w:rsidRDefault="006B6340" w:rsidP="003C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8E" w:rsidRDefault="003C2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8E" w:rsidRDefault="003C2D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8E" w:rsidRDefault="003C2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40" w:rsidRDefault="006B6340" w:rsidP="003C2D8E">
      <w:r>
        <w:separator/>
      </w:r>
    </w:p>
  </w:footnote>
  <w:footnote w:type="continuationSeparator" w:id="0">
    <w:p w:rsidR="006B6340" w:rsidRDefault="006B6340" w:rsidP="003C2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8E" w:rsidRDefault="003C2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8E" w:rsidRDefault="003C2D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8E" w:rsidRDefault="003C2D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F5A"/>
    <w:multiLevelType w:val="hybridMultilevel"/>
    <w:tmpl w:val="5374E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62BF"/>
    <w:multiLevelType w:val="hybridMultilevel"/>
    <w:tmpl w:val="A9AE2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51F50"/>
    <w:multiLevelType w:val="hybridMultilevel"/>
    <w:tmpl w:val="B5E8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D23F6"/>
    <w:multiLevelType w:val="hybridMultilevel"/>
    <w:tmpl w:val="F1C6D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B561A"/>
    <w:multiLevelType w:val="hybridMultilevel"/>
    <w:tmpl w:val="E2267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0141D"/>
    <w:multiLevelType w:val="hybridMultilevel"/>
    <w:tmpl w:val="62467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008F1"/>
    <w:multiLevelType w:val="hybridMultilevel"/>
    <w:tmpl w:val="C422D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724F77"/>
    <w:multiLevelType w:val="hybridMultilevel"/>
    <w:tmpl w:val="0C7E7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E27306"/>
    <w:multiLevelType w:val="hybridMultilevel"/>
    <w:tmpl w:val="E3725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337C9"/>
    <w:multiLevelType w:val="hybridMultilevel"/>
    <w:tmpl w:val="9E5E15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9E7A82"/>
    <w:multiLevelType w:val="hybridMultilevel"/>
    <w:tmpl w:val="72024876"/>
    <w:lvl w:ilvl="0" w:tplc="F04C5CB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0700A4"/>
    <w:multiLevelType w:val="hybridMultilevel"/>
    <w:tmpl w:val="FB76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33929"/>
    <w:multiLevelType w:val="hybridMultilevel"/>
    <w:tmpl w:val="E2904636"/>
    <w:lvl w:ilvl="0" w:tplc="7814389A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D"/>
    <w:rsid w:val="000047CD"/>
    <w:rsid w:val="0000488F"/>
    <w:rsid w:val="00004FCE"/>
    <w:rsid w:val="0000711A"/>
    <w:rsid w:val="00034D76"/>
    <w:rsid w:val="0006393E"/>
    <w:rsid w:val="00070A7B"/>
    <w:rsid w:val="0008312C"/>
    <w:rsid w:val="000D1823"/>
    <w:rsid w:val="000D26A0"/>
    <w:rsid w:val="000D34EF"/>
    <w:rsid w:val="000D4513"/>
    <w:rsid w:val="001032C4"/>
    <w:rsid w:val="001267B7"/>
    <w:rsid w:val="00132947"/>
    <w:rsid w:val="00144720"/>
    <w:rsid w:val="0017113A"/>
    <w:rsid w:val="001A7F5F"/>
    <w:rsid w:val="001E3782"/>
    <w:rsid w:val="001F50CC"/>
    <w:rsid w:val="0020791C"/>
    <w:rsid w:val="00224644"/>
    <w:rsid w:val="00262A21"/>
    <w:rsid w:val="002827F9"/>
    <w:rsid w:val="002B57F0"/>
    <w:rsid w:val="00327C23"/>
    <w:rsid w:val="00343433"/>
    <w:rsid w:val="003456C2"/>
    <w:rsid w:val="00350B25"/>
    <w:rsid w:val="003C2D8E"/>
    <w:rsid w:val="003C45A5"/>
    <w:rsid w:val="003D5A9E"/>
    <w:rsid w:val="003F4830"/>
    <w:rsid w:val="00402B42"/>
    <w:rsid w:val="00440048"/>
    <w:rsid w:val="004B1016"/>
    <w:rsid w:val="004B254A"/>
    <w:rsid w:val="004D731C"/>
    <w:rsid w:val="004D7E62"/>
    <w:rsid w:val="004E1B1C"/>
    <w:rsid w:val="004E7C0C"/>
    <w:rsid w:val="004F109D"/>
    <w:rsid w:val="00514115"/>
    <w:rsid w:val="0054417C"/>
    <w:rsid w:val="00550326"/>
    <w:rsid w:val="00560688"/>
    <w:rsid w:val="00574C77"/>
    <w:rsid w:val="005B3CA0"/>
    <w:rsid w:val="005C0097"/>
    <w:rsid w:val="005D1CB6"/>
    <w:rsid w:val="005F1126"/>
    <w:rsid w:val="006A0F58"/>
    <w:rsid w:val="006B6340"/>
    <w:rsid w:val="006C6C3E"/>
    <w:rsid w:val="006E302E"/>
    <w:rsid w:val="00712361"/>
    <w:rsid w:val="0072733D"/>
    <w:rsid w:val="00767915"/>
    <w:rsid w:val="0079789C"/>
    <w:rsid w:val="007A10F9"/>
    <w:rsid w:val="007C06C4"/>
    <w:rsid w:val="007C4A86"/>
    <w:rsid w:val="007F52AA"/>
    <w:rsid w:val="00805BA7"/>
    <w:rsid w:val="00815484"/>
    <w:rsid w:val="00826329"/>
    <w:rsid w:val="00876A09"/>
    <w:rsid w:val="008A5273"/>
    <w:rsid w:val="008A6C67"/>
    <w:rsid w:val="008C775E"/>
    <w:rsid w:val="008D7AF5"/>
    <w:rsid w:val="00950A0F"/>
    <w:rsid w:val="009757F4"/>
    <w:rsid w:val="009B3AF7"/>
    <w:rsid w:val="009C5886"/>
    <w:rsid w:val="00A00C66"/>
    <w:rsid w:val="00A00D72"/>
    <w:rsid w:val="00A278F2"/>
    <w:rsid w:val="00A56DB8"/>
    <w:rsid w:val="00A57898"/>
    <w:rsid w:val="00A615F0"/>
    <w:rsid w:val="00AB5016"/>
    <w:rsid w:val="00AE47B1"/>
    <w:rsid w:val="00B0111E"/>
    <w:rsid w:val="00B22CC0"/>
    <w:rsid w:val="00B36099"/>
    <w:rsid w:val="00B479AC"/>
    <w:rsid w:val="00B67834"/>
    <w:rsid w:val="00BA0D01"/>
    <w:rsid w:val="00C258C7"/>
    <w:rsid w:val="00C612C9"/>
    <w:rsid w:val="00C80062"/>
    <w:rsid w:val="00C87FB8"/>
    <w:rsid w:val="00C9588E"/>
    <w:rsid w:val="00CA4D82"/>
    <w:rsid w:val="00CD3837"/>
    <w:rsid w:val="00D5690D"/>
    <w:rsid w:val="00D63E34"/>
    <w:rsid w:val="00D6446C"/>
    <w:rsid w:val="00D6543A"/>
    <w:rsid w:val="00DD2C3C"/>
    <w:rsid w:val="00DD3C55"/>
    <w:rsid w:val="00E417FB"/>
    <w:rsid w:val="00E773CC"/>
    <w:rsid w:val="00EA2135"/>
    <w:rsid w:val="00EA3CE0"/>
    <w:rsid w:val="00EB7BAE"/>
    <w:rsid w:val="00EE0C70"/>
    <w:rsid w:val="00F1625E"/>
    <w:rsid w:val="00F53864"/>
    <w:rsid w:val="00F837F3"/>
    <w:rsid w:val="00FB2D1D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C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4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72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72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D8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2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D8E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C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4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72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72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D8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2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D8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EEF9-54E0-4696-B29E-91726F9F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Carol - Office of Next Generation Learners</dc:creator>
  <cp:lastModifiedBy>Treece, Amy - Division of Program Standards</cp:lastModifiedBy>
  <cp:revision>2</cp:revision>
  <cp:lastPrinted>2014-04-23T16:54:00Z</cp:lastPrinted>
  <dcterms:created xsi:type="dcterms:W3CDTF">2014-05-01T12:01:00Z</dcterms:created>
  <dcterms:modified xsi:type="dcterms:W3CDTF">2014-05-01T12:01:00Z</dcterms:modified>
</cp:coreProperties>
</file>